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rFonts w:hint="eastAsia"/>
        </w:rPr>
        <w:drawing>
          <wp:inline distT="0" distB="0" distL="114300" distR="114300">
            <wp:extent cx="1398905" cy="1403350"/>
            <wp:effectExtent l="0" t="0" r="10795" b="6350"/>
            <wp:docPr id="5" name="图片 2" descr="caii-logo2012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aii-logo201208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《**************》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z w:val="52"/>
          <w:szCs w:val="52"/>
        </w:rPr>
        <w:t>课程标准</w:t>
      </w:r>
    </w:p>
    <w:p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（2022年修订）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********学院</w:t>
      </w:r>
    </w:p>
    <w:p>
      <w:pPr>
        <w:jc w:val="center"/>
        <w:rPr>
          <w:rFonts w:ascii="微软雅黑" w:hAnsi="微软雅黑" w:eastAsia="微软雅黑" w:cs="微软雅黑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 w:sep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30"/>
          <w:szCs w:val="30"/>
        </w:rPr>
        <w:t>年  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</w:pPr>
      <w:r>
        <w:rPr>
          <w:rFonts w:hint="eastAsia"/>
        </w:rPr>
        <w:t>《********》课程标准</w:t>
      </w:r>
      <w:r>
        <w:commentReference w:id="0"/>
      </w:r>
    </w:p>
    <w:tbl>
      <w:tblPr>
        <w:tblStyle w:val="9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40"/>
        <w:gridCol w:w="51"/>
        <w:gridCol w:w="2346"/>
        <w:gridCol w:w="235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407" w:type="dxa"/>
            <w:gridSpan w:val="6"/>
            <w:tcBorders>
              <w:bottom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51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适用专业</w:t>
            </w:r>
          </w:p>
        </w:tc>
        <w:tc>
          <w:tcPr>
            <w:tcW w:w="2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课程类型</w:t>
            </w:r>
          </w:p>
        </w:tc>
        <w:tc>
          <w:tcPr>
            <w:tcW w:w="2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开课学期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  学期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考核方式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shd w:val="clear" w:color="auto" w:fill="FFFF00"/>
              </w:rPr>
              <w:t>考试/考查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总学时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学分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可置换课程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企业实践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技能竞赛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Cs w:val="21"/>
                <w:highlight w:val="yellow"/>
              </w:rPr>
              <w:t>实习岗位名称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技能竞赛名称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职业证书名称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可共享课程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共享专业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共享内容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6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填写共享专业名称</w:t>
            </w:r>
          </w:p>
        </w:tc>
        <w:tc>
          <w:tcPr>
            <w:tcW w:w="2356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填写“全部共享”或列举“第*模块”</w:t>
            </w:r>
          </w:p>
        </w:tc>
        <w:tc>
          <w:tcPr>
            <w:tcW w:w="2354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6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……</w:t>
            </w:r>
          </w:p>
        </w:tc>
        <w:tc>
          <w:tcPr>
            <w:tcW w:w="2356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……</w:t>
            </w:r>
          </w:p>
        </w:tc>
        <w:tc>
          <w:tcPr>
            <w:tcW w:w="2354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课程标准编制团队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课程标准审核</w:t>
            </w: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专业负责人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院部教学院长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40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1.“课程类型”项选择填写“</w:t>
            </w:r>
            <w:r>
              <w:rPr>
                <w:rFonts w:hint="eastAsia" w:ascii="宋体" w:hAnsi="宋体"/>
                <w:bCs/>
                <w:szCs w:val="21"/>
              </w:rPr>
              <w:t>公共基础课/公共选修课/专业基础课/专业核心课/专业选修课</w:t>
            </w:r>
            <w:r>
              <w:rPr>
                <w:rFonts w:hint="eastAsia" w:ascii="宋体" w:hAnsi="宋体"/>
                <w:szCs w:val="21"/>
              </w:rPr>
              <w:t>”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2.“可置换课程”项，根据人才培养方案，选择“是”或“否”，如选“是”，须选择置换方式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3.“可共享课程”项，选择“是”或“否”，如选“是”，须填写共享信息，此项可加行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00"/>
              </w:rPr>
              <w:t>4.请适当调整行高，确保本表格在同一页内（完成后删除此行提示）</w:t>
            </w:r>
          </w:p>
        </w:tc>
      </w:tr>
    </w:tbl>
    <w:p>
      <w:pPr>
        <w:pStyle w:val="3"/>
        <w:ind w:firstLine="560"/>
      </w:pPr>
      <w:r>
        <w:rPr>
          <w:rFonts w:hint="eastAsia"/>
          <w:lang w:val="en-US" w:eastAsia="zh-CN"/>
        </w:rPr>
        <w:t>一</w:t>
      </w:r>
      <w:r>
        <w:t>、课程</w:t>
      </w:r>
      <w:r>
        <w:rPr>
          <w:rFonts w:hint="eastAsia"/>
        </w:rPr>
        <w:t>性质与任务</w:t>
      </w:r>
      <w:r>
        <w:commentReference w:id="1"/>
      </w:r>
    </w:p>
    <w:p>
      <w:pPr>
        <w:spacing w:line="500" w:lineRule="exact"/>
        <w:ind w:firstLine="480" w:firstLineChars="200"/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《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？？？？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》是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？？专业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的公共/基础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/核心/拓展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课和必修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/选修课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，主要内容包括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？？？等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部分。通过本课程的学习，培养学生？？？等能力，具备？？？等。本课程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的前导课程为？？，后续课程为？？。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color w:val="FF0000"/>
          <w:sz w:val="24"/>
          <w:highlight w:val="none"/>
        </w:rPr>
      </w:pP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在教学过程中融入爱党爱国爱家的人文教育，培养学生树立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精益求精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负责担当的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职业道德。培养学生严谨求实的工作作风以及良好的团队协作能力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创新意识</w:t>
      </w:r>
      <w:r>
        <w:rPr>
          <w:rFonts w:hint="default" w:ascii="仿宋" w:hAnsi="仿宋" w:eastAsia="仿宋" w:cs="仿宋"/>
          <w:bCs/>
          <w:color w:val="FF0000"/>
          <w:sz w:val="24"/>
          <w:highlight w:val="none"/>
          <w:lang w:eastAsia="zh-CN"/>
        </w:rPr>
        <w:t>、绿色发展意识</w:t>
      </w:r>
      <w:r>
        <w:rPr>
          <w:rFonts w:hint="eastAsia" w:ascii="仿宋" w:hAnsi="仿宋" w:eastAsia="仿宋" w:cs="仿宋"/>
          <w:bCs/>
          <w:color w:val="FF0000"/>
          <w:sz w:val="24"/>
          <w:highlight w:val="none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、课程目标与要求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  <w:highlight w:val="yellow"/>
        </w:rPr>
      </w:pPr>
      <w:r>
        <w:rPr>
          <w:rFonts w:hint="eastAsia" w:ascii="仿宋" w:hAnsi="仿宋" w:eastAsia="仿宋" w:cs="仿宋"/>
          <w:bCs/>
          <w:sz w:val="24"/>
          <w:highlight w:val="yellow"/>
        </w:rPr>
        <w:t>冒段：课程目标简介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素质目标</w:t>
      </w:r>
      <w:r>
        <w:rPr>
          <w:rFonts w:hint="eastAsia" w:ascii="仿宋" w:hAnsi="仿宋" w:eastAsia="仿宋" w:cs="仿宋"/>
          <w:b/>
          <w:color w:val="FF0000"/>
          <w:sz w:val="24"/>
        </w:rPr>
        <w:t>：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highlight w:val="yellow"/>
        </w:rPr>
        <w:t>（注意：与人才培养方案呼应）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知识目标：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highlight w:val="yellow"/>
        </w:rPr>
        <w:t>（注意：与人才培养方案呼应）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能力目标：</w:t>
      </w:r>
    </w:p>
    <w:p>
      <w:pPr>
        <w:spacing w:line="500" w:lineRule="exact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highlight w:val="yellow"/>
        </w:rPr>
        <w:t>（注意：与人才培养方案呼应）</w:t>
      </w:r>
    </w:p>
    <w:p>
      <w:pPr>
        <w:spacing w:line="500" w:lineRule="exact"/>
        <w:ind w:firstLine="482" w:firstLineChars="200"/>
        <w:rPr>
          <w:rFonts w:ascii="宋体" w:hAnsi="宋体" w:eastAsia="宋体" w:cs="Times New Roman"/>
          <w:b/>
          <w:sz w:val="24"/>
        </w:rPr>
      </w:pPr>
    </w:p>
    <w:p>
      <w:pPr>
        <w:spacing w:line="500" w:lineRule="exact"/>
        <w:ind w:firstLine="482" w:firstLineChars="200"/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课程结构与内容</w:t>
      </w:r>
    </w:p>
    <w:p>
      <w:pPr>
        <w:spacing w:line="500" w:lineRule="exact"/>
        <w:ind w:firstLine="480" w:firstLineChars="200"/>
        <w:rPr>
          <w:rFonts w:hint="default" w:ascii="仿宋" w:hAnsi="仿宋" w:eastAsia="仿宋" w:cs="仿宋"/>
          <w:bCs/>
          <w:color w:val="FF0000"/>
          <w:sz w:val="24"/>
          <w:lang w:eastAsia="zh-CN"/>
        </w:rPr>
      </w:pPr>
      <w:r>
        <w:rPr>
          <w:rFonts w:hint="default" w:ascii="仿宋" w:hAnsi="仿宋" w:eastAsia="仿宋" w:cs="仿宋"/>
          <w:bCs/>
          <w:color w:val="FF0000"/>
          <w:sz w:val="24"/>
          <w:lang w:eastAsia="zh-CN"/>
        </w:rPr>
        <w:t>1.整体设计</w:t>
      </w:r>
    </w:p>
    <w:p>
      <w:pPr>
        <w:spacing w:line="500" w:lineRule="exact"/>
        <w:ind w:firstLine="480" w:firstLineChars="200"/>
        <w:rPr>
          <w:rFonts w:hint="default" w:ascii="仿宋" w:hAnsi="仿宋" w:eastAsia="仿宋" w:cs="仿宋"/>
          <w:bCs/>
          <w:color w:val="FF0000"/>
          <w:sz w:val="24"/>
          <w:lang w:eastAsia="zh-CN"/>
        </w:rPr>
      </w:pPr>
      <w:r>
        <w:rPr>
          <w:rFonts w:hint="default" w:ascii="仿宋" w:hAnsi="仿宋" w:eastAsia="仿宋" w:cs="仿宋"/>
          <w:bCs/>
          <w:color w:val="FF0000"/>
          <w:sz w:val="24"/>
          <w:lang w:eastAsia="zh-CN"/>
        </w:rPr>
        <w:t>通过面向国内外行业分析和调研，结合？理念，基于？专业国家教学标准，融入？岗位标准、</w:t>
      </w:r>
      <w:r>
        <w:rPr>
          <w:rFonts w:hint="default" w:ascii="仿宋" w:hAnsi="仿宋" w:eastAsia="仿宋" w:cs="仿宋"/>
          <w:bCs/>
          <w:color w:val="FF0000"/>
          <w:sz w:val="24"/>
          <w:highlight w:val="yellow"/>
          <w:lang w:eastAsia="zh-CN"/>
        </w:rPr>
        <w:t>1+X汽车运用与维修职业</w:t>
      </w:r>
      <w:r>
        <w:rPr>
          <w:rFonts w:hint="default" w:ascii="仿宋" w:hAnsi="仿宋" w:eastAsia="仿宋" w:cs="仿宋"/>
          <w:bCs/>
          <w:color w:val="FF0000"/>
          <w:sz w:val="24"/>
          <w:lang w:eastAsia="zh-CN"/>
        </w:rPr>
        <w:t>等级证书（？级）考核标准、？大赛？赛项标准等，遵循学生认知规律与职业发展规律，以模块化的方式架构为??????等？个模块，如表? 所示。</w:t>
      </w:r>
    </w:p>
    <w:p>
      <w:pPr>
        <w:numPr>
          <w:ilvl w:val="0"/>
          <w:numId w:val="0"/>
        </w:numPr>
      </w:pPr>
    </w:p>
    <w:tbl>
      <w:tblPr>
        <w:tblStyle w:val="10"/>
        <w:tblW w:w="13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620"/>
        <w:gridCol w:w="2010"/>
        <w:gridCol w:w="1440"/>
        <w:gridCol w:w="3199"/>
        <w:gridCol w:w="922"/>
        <w:gridCol w:w="180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模块/章</w:t>
            </w:r>
          </w:p>
        </w:tc>
        <w:tc>
          <w:tcPr>
            <w:tcW w:w="26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教学目标</w:t>
            </w:r>
          </w:p>
        </w:tc>
        <w:tc>
          <w:tcPr>
            <w:tcW w:w="20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教学资源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项目/节</w:t>
            </w:r>
            <w:r>
              <w:rPr>
                <w:rFonts w:hint="default" w:ascii="仿宋" w:hAnsi="仿宋" w:eastAsia="仿宋" w:cs="仿宋"/>
                <w:szCs w:val="21"/>
              </w:rPr>
              <w:t>/任务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重难点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教学方法</w:t>
            </w:r>
          </w:p>
        </w:tc>
        <w:tc>
          <w:tcPr>
            <w:tcW w:w="6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模块1：更换车轮总成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【知识目标】</w:t>
            </w:r>
          </w:p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1.能区分轮胎的类型。</w:t>
            </w:r>
          </w:p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pStyle w:val="14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【技能目标】</w:t>
            </w:r>
          </w:p>
          <w:p>
            <w:pPr>
              <w:pStyle w:val="14"/>
              <w:numPr>
                <w:ilvl w:val="0"/>
                <w:numId w:val="1"/>
              </w:num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能独立规范完成车轮检查与换位。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</w:rPr>
            </w:pPr>
          </w:p>
          <w:p>
            <w:pPr>
              <w:pStyle w:val="14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【素质目标】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培养学生的责任意识。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培养安全意识。</w:t>
            </w:r>
          </w:p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任务1：</w:t>
            </w:r>
            <w:r>
              <w:rPr>
                <w:rFonts w:hint="eastAsia" w:ascii="仿宋" w:hAnsi="仿宋" w:eastAsia="仿宋" w:cs="仿宋"/>
              </w:rPr>
              <w:t>车轮检查换位</w:t>
            </w:r>
          </w:p>
        </w:tc>
        <w:tc>
          <w:tcPr>
            <w:tcW w:w="3199" w:type="dxa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1.车轮与轮胎的作用。</w:t>
            </w:r>
          </w:p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2.车轮及轮胎检查内容及方法。</w:t>
            </w:r>
          </w:p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3.检查车轮及轮胎状况。</w:t>
            </w:r>
          </w:p>
          <w:p>
            <w:pPr>
              <w:pStyle w:val="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4.轮胎检查换位方法。</w:t>
            </w:r>
          </w:p>
          <w:p>
            <w:pPr>
              <w:rPr>
                <w:rFonts w:hint="eastAsia"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【思政点】环保意识</w:t>
            </w:r>
            <w:r>
              <w:commentReference w:id="2"/>
            </w:r>
          </w:p>
          <w:p>
            <w:pPr>
              <w:pStyle w:val="14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5.....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2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任务2：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2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任务3：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2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任务4：</w:t>
            </w:r>
          </w:p>
        </w:tc>
        <w:tc>
          <w:tcPr>
            <w:tcW w:w="319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填写说明：</w:t>
      </w:r>
    </w:p>
    <w:p>
      <w:pPr>
        <w:numPr>
          <w:ilvl w:val="0"/>
          <w:numId w:val="3"/>
        </w:numPr>
        <w:snapToGrid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“重难点”一项，请在表格内填写“重点”“难点”或不予填写。</w:t>
      </w:r>
    </w:p>
    <w:p>
      <w:pPr>
        <w:numPr>
          <w:ilvl w:val="0"/>
          <w:numId w:val="3"/>
        </w:numPr>
        <w:snapToGrid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“教学资源”可填写实训设备、数字化资源以及其他需要用到的教学资源。</w:t>
      </w:r>
    </w:p>
    <w:p>
      <w:pPr>
        <w:numPr>
          <w:ilvl w:val="0"/>
          <w:numId w:val="3"/>
        </w:numPr>
        <w:snapToGrid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“教学方法”项，填写代表性方法。</w:t>
      </w:r>
    </w:p>
    <w:p>
      <w:pPr>
        <w:widowControl w:val="0"/>
        <w:numPr>
          <w:numId w:val="0"/>
        </w:numPr>
        <w:tabs>
          <w:tab w:val="left" w:pos="312"/>
        </w:tabs>
        <w:snapToGrid w:val="0"/>
        <w:jc w:val="both"/>
        <w:rPr>
          <w:rFonts w:ascii="仿宋" w:hAnsi="仿宋" w:eastAsia="仿宋" w:cs="仿宋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FF0000"/>
          <w:sz w:val="24"/>
          <w:lang w:val="en-US" w:eastAsia="zh-CN"/>
        </w:rPr>
      </w:pPr>
      <w:commentRangeStart w:id="3"/>
      <w:r>
        <w:rPr>
          <w:rFonts w:hint="eastAsia" w:ascii="仿宋" w:hAnsi="仿宋" w:eastAsia="仿宋" w:cs="仿宋"/>
          <w:bCs/>
          <w:color w:val="FF0000"/>
          <w:sz w:val="24"/>
          <w:lang w:eastAsia="zh-CN"/>
        </w:rPr>
        <w:t>2.</w:t>
      </w:r>
      <w:r>
        <w:rPr>
          <w:rFonts w:hint="eastAsia" w:ascii="仿宋" w:hAnsi="仿宋" w:eastAsia="仿宋" w:cs="仿宋"/>
          <w:bCs/>
          <w:color w:val="FF0000"/>
          <w:sz w:val="24"/>
          <w:lang w:val="en-US" w:eastAsia="zh-CN"/>
        </w:rPr>
        <w:t>思政元素融入</w:t>
      </w:r>
    </w:p>
    <w:p>
      <w:pPr>
        <w:ind w:firstLine="476"/>
        <w:rPr>
          <w:rFonts w:hint="eastAsia" w:ascii="仿宋" w:hAnsi="仿宋" w:eastAsia="仿宋" w:cs="仿宋"/>
          <w:color w:val="FF0000"/>
          <w:spacing w:val="-1"/>
          <w:sz w:val="24"/>
          <w:szCs w:val="32"/>
        </w:rPr>
      </w:pPr>
      <w:r>
        <w:rPr>
          <w:rFonts w:hint="eastAsia" w:ascii="仿宋" w:hAnsi="仿宋" w:eastAsia="仿宋" w:cs="仿宋"/>
          <w:color w:val="FF0000"/>
          <w:spacing w:val="-1"/>
          <w:sz w:val="24"/>
          <w:szCs w:val="32"/>
          <w:highlight w:val="yellow"/>
        </w:rPr>
        <w:t>以习近平新时代中国特色社会主义思想为指导，落实立德树人的根本任务，将？作为培养主线，充分挖掘行业、学校以及区域等蕴含的思政要素，从????等？</w:t>
      </w:r>
      <w:r>
        <w:rPr>
          <w:rFonts w:hint="eastAsia" w:ascii="仿宋" w:hAnsi="仿宋" w:eastAsia="仿宋" w:cs="仿宋"/>
          <w:color w:val="FF0000"/>
          <w:spacing w:val="-1"/>
          <w:sz w:val="24"/>
          <w:szCs w:val="32"/>
          <w:highlight w:val="yellow"/>
          <w:lang w:val="en-US" w:eastAsia="zh-CN"/>
        </w:rPr>
        <w:t>个</w:t>
      </w:r>
      <w:r>
        <w:rPr>
          <w:rFonts w:hint="eastAsia" w:ascii="仿宋" w:hAnsi="仿宋" w:eastAsia="仿宋" w:cs="仿宋"/>
          <w:color w:val="FF0000"/>
          <w:spacing w:val="-1"/>
          <w:sz w:val="24"/>
          <w:szCs w:val="32"/>
          <w:highlight w:val="yellow"/>
        </w:rPr>
        <w:t>维度融入课程思政，提升育人效果。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341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765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  <w:t>主线</w:t>
            </w:r>
          </w:p>
        </w:tc>
        <w:tc>
          <w:tcPr>
            <w:tcW w:w="1341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  <w:t>维度</w:t>
            </w:r>
          </w:p>
        </w:tc>
        <w:tc>
          <w:tcPr>
            <w:tcW w:w="4190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</w:rPr>
              <w:t>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  <w:t>例：培养自主汽车产业 “红旗工匠”</w:t>
            </w:r>
          </w:p>
        </w:tc>
        <w:tc>
          <w:tcPr>
            <w:tcW w:w="1341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  <w:t>社会</w:t>
            </w:r>
          </w:p>
        </w:tc>
        <w:tc>
          <w:tcPr>
            <w:tcW w:w="4190" w:type="dxa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爱国情怀、社会责任、绿色发展…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  <w:t>个人</w:t>
            </w:r>
          </w:p>
        </w:tc>
        <w:tc>
          <w:tcPr>
            <w:tcW w:w="4190" w:type="dxa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highlight w:val="yellow"/>
              </w:rPr>
              <w:t>专业</w:t>
            </w:r>
          </w:p>
        </w:tc>
        <w:tc>
          <w:tcPr>
            <w:tcW w:w="4190" w:type="dxa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精益求精、标准意识…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pStyle w:val="14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…</w:t>
            </w:r>
          </w:p>
          <w:commentRangeEnd w:id="3"/>
          <w:p>
            <w:r>
              <w:rPr>
                <w:color w:val="FF0000"/>
              </w:rPr>
              <w:commentReference w:id="3"/>
            </w:r>
          </w:p>
        </w:tc>
        <w:tc>
          <w:tcPr>
            <w:tcW w:w="4190" w:type="dxa"/>
            <w:vAlign w:val="center"/>
          </w:tcPr>
          <w:p>
            <w:pPr>
              <w:pStyle w:val="14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、课程考核与</w:t>
      </w:r>
      <w:r>
        <w:rPr>
          <w:rFonts w:hint="eastAsia"/>
          <w:lang w:val="en-US" w:eastAsia="zh-CN"/>
        </w:rPr>
        <w:t>评价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FF0000"/>
          <w:sz w:val="24"/>
          <w:lang w:eastAsia="zh-CN"/>
        </w:rPr>
        <w:t>1.评价方法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highlight w:val="yellow"/>
        </w:rPr>
        <w:t>举例：（完成后删除此提示）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本课程评价包含过程评价、技能考核与综合测试三部分，详细如下：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5292"/>
        <w:gridCol w:w="967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评价方式</w:t>
            </w:r>
          </w:p>
        </w:tc>
        <w:tc>
          <w:tcPr>
            <w:tcW w:w="94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考核内容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权重</w:t>
            </w: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过程考核</w:t>
            </w:r>
          </w:p>
        </w:tc>
        <w:tc>
          <w:tcPr>
            <w:tcW w:w="9450" w:type="dxa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出勤情况、课堂教学活动参与、在线资源学习情况、作业完成情况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20%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技能考核</w:t>
            </w:r>
          </w:p>
        </w:tc>
        <w:tc>
          <w:tcPr>
            <w:tcW w:w="9450" w:type="dxa"/>
          </w:tcPr>
          <w:p>
            <w:pPr>
              <w:numPr>
                <w:ilvl w:val="0"/>
                <w:numId w:val="4"/>
              </w:num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**型号发动机拆卸</w:t>
            </w:r>
          </w:p>
          <w:p>
            <w:pPr>
              <w:numPr>
                <w:ilvl w:val="0"/>
                <w:numId w:val="4"/>
              </w:num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**工具使用</w:t>
            </w:r>
          </w:p>
          <w:p>
            <w:pPr>
              <w:numPr>
                <w:ilvl w:val="0"/>
                <w:numId w:val="4"/>
              </w:num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**工作任务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40%</w:t>
            </w:r>
          </w:p>
        </w:tc>
        <w:tc>
          <w:tcPr>
            <w:tcW w:w="1228" w:type="dxa"/>
            <w:vMerge w:val="continue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综合测试</w:t>
            </w:r>
          </w:p>
        </w:tc>
        <w:tc>
          <w:tcPr>
            <w:tcW w:w="9450" w:type="dxa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理论知识与基础技能考核</w:t>
            </w: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40%</w:t>
            </w:r>
          </w:p>
        </w:tc>
        <w:tc>
          <w:tcPr>
            <w:tcW w:w="1228" w:type="dxa"/>
            <w:vMerge w:val="continue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</w:tbl>
    <w:p>
      <w:pPr>
        <w:spacing w:line="500" w:lineRule="exact"/>
        <w:ind w:firstLine="482" w:firstLineChars="200"/>
        <w:rPr>
          <w:rFonts w:hint="eastAsia" w:ascii="仿宋" w:hAnsi="仿宋" w:eastAsia="仿宋" w:cs="仿宋"/>
          <w:b/>
          <w:bCs w:val="0"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lang w:eastAsia="zh-CN"/>
        </w:rPr>
        <w:t>2.考核内容（举例如下，请删除此提示）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（1）学习过程考核标准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53"/>
        <w:gridCol w:w="1753"/>
        <w:gridCol w:w="175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11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考核内容</w:t>
            </w:r>
          </w:p>
        </w:tc>
        <w:tc>
          <w:tcPr>
            <w:tcW w:w="2363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课堂出勤</w:t>
            </w:r>
          </w:p>
        </w:tc>
        <w:tc>
          <w:tcPr>
            <w:tcW w:w="2952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课堂教学活动参与</w:t>
            </w:r>
          </w:p>
        </w:tc>
        <w:tc>
          <w:tcPr>
            <w:tcW w:w="2952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在线资源学习</w:t>
            </w:r>
          </w:p>
        </w:tc>
        <w:tc>
          <w:tcPr>
            <w:tcW w:w="2955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作业完成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20%</w:t>
            </w:r>
          </w:p>
        </w:tc>
        <w:tc>
          <w:tcPr>
            <w:tcW w:w="29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30%</w:t>
            </w:r>
          </w:p>
        </w:tc>
        <w:tc>
          <w:tcPr>
            <w:tcW w:w="29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30%</w:t>
            </w:r>
          </w:p>
        </w:tc>
        <w:tc>
          <w:tcPr>
            <w:tcW w:w="29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20%</w:t>
            </w:r>
          </w:p>
        </w:tc>
        <w:tc>
          <w:tcPr>
            <w:tcW w:w="2363" w:type="dxa"/>
            <w:vMerge w:val="continue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</w:tbl>
    <w:p>
      <w:pPr>
        <w:numPr>
          <w:ilvl w:val="0"/>
          <w:numId w:val="5"/>
        </w:numPr>
        <w:spacing w:line="500" w:lineRule="exact"/>
        <w:ind w:firstLine="480" w:firstLineChars="20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技能考核标准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43"/>
        <w:gridCol w:w="1943"/>
        <w:gridCol w:w="194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考核项目</w:t>
            </w:r>
          </w:p>
        </w:tc>
        <w:tc>
          <w:tcPr>
            <w:tcW w:w="58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内容赋分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技能操作50%</w:t>
            </w: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安全作业15%</w:t>
            </w:r>
          </w:p>
        </w:tc>
        <w:tc>
          <w:tcPr>
            <w:tcW w:w="19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工单填写35%</w:t>
            </w:r>
          </w:p>
        </w:tc>
        <w:tc>
          <w:tcPr>
            <w:tcW w:w="9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曲柄连杆机构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检测与维修</w:t>
            </w: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机体组检修、活塞连杆组检修、曲柄飞轮组检修</w:t>
            </w: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安全意识、操作规范、设备工具使用、5S管理</w:t>
            </w:r>
          </w:p>
        </w:tc>
        <w:tc>
          <w:tcPr>
            <w:tcW w:w="19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资料查询、维修判定、工单填写完整与准确</w:t>
            </w:r>
          </w:p>
        </w:tc>
        <w:tc>
          <w:tcPr>
            <w:tcW w:w="9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19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19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98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</w:tr>
    </w:tbl>
    <w:p>
      <w:pPr>
        <w:numPr>
          <w:ilvl w:val="0"/>
          <w:numId w:val="5"/>
        </w:numPr>
        <w:spacing w:line="500" w:lineRule="exact"/>
        <w:ind w:firstLine="480" w:firstLineChars="20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综合测试考核标准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225"/>
        <w:gridCol w:w="1275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序号</w:t>
            </w:r>
          </w:p>
        </w:tc>
        <w:tc>
          <w:tcPr>
            <w:tcW w:w="95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考核内容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权重</w:t>
            </w:r>
          </w:p>
        </w:tc>
        <w:tc>
          <w:tcPr>
            <w:tcW w:w="18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540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四冲程往复式汽油机工作过程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5%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9540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****原理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8%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9540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*****理论理解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10%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9540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……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、教学实施与保障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1.课程团队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color w:val="FF0000"/>
          <w:sz w:val="24"/>
          <w:highlight w:val="none"/>
        </w:rPr>
      </w:pPr>
      <w:r>
        <w:rPr>
          <w:rFonts w:hint="eastAsia" w:ascii="仿宋" w:hAnsi="仿宋" w:eastAsia="仿宋" w:cs="仿宋"/>
          <w:color w:val="FF0000"/>
          <w:sz w:val="24"/>
          <w:highlight w:val="none"/>
        </w:rPr>
        <w:t>教师应具备</w:t>
      </w:r>
      <w:r>
        <w:rPr>
          <w:rFonts w:hint="default" w:ascii="仿宋" w:hAnsi="仿宋" w:eastAsia="仿宋" w:cs="仿宋"/>
          <w:color w:val="FF0000"/>
          <w:sz w:val="24"/>
          <w:highlight w:val="none"/>
        </w:rPr>
        <w:t>？？</w:t>
      </w:r>
      <w:r>
        <w:rPr>
          <w:rFonts w:hint="eastAsia" w:ascii="仿宋" w:hAnsi="仿宋" w:eastAsia="仿宋" w:cs="仿宋"/>
          <w:color w:val="FF0000"/>
          <w:sz w:val="24"/>
          <w:highlight w:val="none"/>
        </w:rPr>
        <w:t>专业本科或以上学历；本科学历应具有讲师或讲师以上职称，研究生学历应具有</w:t>
      </w:r>
      <w:r>
        <w:rPr>
          <w:rFonts w:hint="eastAsia" w:ascii="仿宋" w:hAnsi="仿宋" w:eastAsia="仿宋" w:cs="仿宋"/>
          <w:color w:val="FF0000"/>
          <w:sz w:val="24"/>
          <w:highlight w:val="yellow"/>
        </w:rPr>
        <w:t xml:space="preserve"> 1 </w:t>
      </w:r>
      <w:r>
        <w:rPr>
          <w:rFonts w:hint="eastAsia" w:ascii="仿宋" w:hAnsi="仿宋" w:eastAsia="仿宋" w:cs="仿宋"/>
          <w:color w:val="FF0000"/>
          <w:sz w:val="24"/>
          <w:highlight w:val="none"/>
        </w:rPr>
        <w:t>年以上教学经验；建议应具有“双师”素质能力；师德高尚、治学严谨，能将课程教学与思政教育有机融合在一起；执教能力强，教学效果好。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2.实习实训条件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3.教材与参考资料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4.其他教学资源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、授课进度与安排</w:t>
      </w:r>
    </w:p>
    <w:tbl>
      <w:tblPr>
        <w:tblStyle w:val="9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82"/>
        <w:gridCol w:w="4888"/>
        <w:gridCol w:w="155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节次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学时数</w:t>
            </w:r>
          </w:p>
        </w:tc>
        <w:tc>
          <w:tcPr>
            <w:tcW w:w="4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课程进行的形式和内容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（讲课、实验、习题课、测验）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作业布置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1-2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李明清" w:date="2022-12-01T10:15:37Z" w:initials="">
    <w:p w14:paraId="56053D86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一级标题，黑体二号，居中，单倍行距，段前段后0.5行</w:t>
      </w:r>
    </w:p>
  </w:comment>
  <w:comment w:id="1" w:author="李明清" w:date="2022-12-01T13:56:18Z" w:initials="">
    <w:p w14:paraId="781526F4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二级标题，宋体三号</w:t>
      </w:r>
    </w:p>
  </w:comment>
  <w:comment w:id="2" w:author="李明清" w:date="2022-12-01T09:34:19Z" w:initials="">
    <w:p w14:paraId="665E3F54">
      <w:pPr>
        <w:pStyle w:val="6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新增</w:t>
      </w:r>
    </w:p>
  </w:comment>
  <w:comment w:id="3" w:author="李明清" w:date="2022-12-01T09:32:45Z" w:initials="">
    <w:p w14:paraId="10AF34DF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新增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6053D86" w15:done="0"/>
  <w15:commentEx w15:paraId="781526F4" w15:done="0"/>
  <w15:commentEx w15:paraId="665E3F54" w15:done="0"/>
  <w15:commentEx w15:paraId="10AF34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F52C2"/>
    <w:multiLevelType w:val="singleLevel"/>
    <w:tmpl w:val="93AF52C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D618A39B"/>
    <w:multiLevelType w:val="singleLevel"/>
    <w:tmpl w:val="D618A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CF61CB4"/>
    <w:multiLevelType w:val="singleLevel"/>
    <w:tmpl w:val="DCF61C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00075EE"/>
    <w:multiLevelType w:val="singleLevel"/>
    <w:tmpl w:val="500075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5AF6B31"/>
    <w:multiLevelType w:val="singleLevel"/>
    <w:tmpl w:val="55AF6B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明清">
    <w15:presenceInfo w15:providerId="WPS Office" w15:userId="235312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zU4ZjM2ODRkMjg3MzFkODdiNGJlNWYwNzM4NGIifQ=="/>
  </w:docVars>
  <w:rsids>
    <w:rsidRoot w:val="008F3089"/>
    <w:rsid w:val="00401358"/>
    <w:rsid w:val="00846605"/>
    <w:rsid w:val="00882E73"/>
    <w:rsid w:val="008F3089"/>
    <w:rsid w:val="00A90993"/>
    <w:rsid w:val="00BE05F8"/>
    <w:rsid w:val="00D10CDB"/>
    <w:rsid w:val="00DD5317"/>
    <w:rsid w:val="00E218FC"/>
    <w:rsid w:val="00E423DD"/>
    <w:rsid w:val="062804DB"/>
    <w:rsid w:val="08517143"/>
    <w:rsid w:val="091163F2"/>
    <w:rsid w:val="0C3B1C9C"/>
    <w:rsid w:val="0D054058"/>
    <w:rsid w:val="0DEC6CC0"/>
    <w:rsid w:val="0FD7324E"/>
    <w:rsid w:val="0FE7142E"/>
    <w:rsid w:val="16835D51"/>
    <w:rsid w:val="17FC7011"/>
    <w:rsid w:val="18D92F68"/>
    <w:rsid w:val="200E5147"/>
    <w:rsid w:val="24966872"/>
    <w:rsid w:val="28D252DE"/>
    <w:rsid w:val="2AFB6D6E"/>
    <w:rsid w:val="2C762D11"/>
    <w:rsid w:val="2D476266"/>
    <w:rsid w:val="2F601896"/>
    <w:rsid w:val="364F4412"/>
    <w:rsid w:val="37971BCD"/>
    <w:rsid w:val="37F25C81"/>
    <w:rsid w:val="3B643E90"/>
    <w:rsid w:val="3BF75547"/>
    <w:rsid w:val="3DFE9618"/>
    <w:rsid w:val="3E4E4FAF"/>
    <w:rsid w:val="41260C88"/>
    <w:rsid w:val="42E61C5A"/>
    <w:rsid w:val="43B24761"/>
    <w:rsid w:val="4A100694"/>
    <w:rsid w:val="4CE216E4"/>
    <w:rsid w:val="4DBC04F4"/>
    <w:rsid w:val="4F3E0F4F"/>
    <w:rsid w:val="4FCD667C"/>
    <w:rsid w:val="5C7165E1"/>
    <w:rsid w:val="5E6A32E8"/>
    <w:rsid w:val="5FE60FEE"/>
    <w:rsid w:val="602A72AA"/>
    <w:rsid w:val="60C07B37"/>
    <w:rsid w:val="634F37F8"/>
    <w:rsid w:val="653E0395"/>
    <w:rsid w:val="66182A79"/>
    <w:rsid w:val="667D72FA"/>
    <w:rsid w:val="6B1B1620"/>
    <w:rsid w:val="6D0A70AC"/>
    <w:rsid w:val="6D1A475F"/>
    <w:rsid w:val="6EDA6267"/>
    <w:rsid w:val="6FA40CFB"/>
    <w:rsid w:val="723444E8"/>
    <w:rsid w:val="72FD56FB"/>
    <w:rsid w:val="748A2BE9"/>
    <w:rsid w:val="75F145C2"/>
    <w:rsid w:val="76F51E90"/>
    <w:rsid w:val="7BFE6A0A"/>
    <w:rsid w:val="7D7B7C41"/>
    <w:rsid w:val="7E4A6447"/>
    <w:rsid w:val="7E679D9F"/>
    <w:rsid w:val="7F3B065C"/>
    <w:rsid w:val="BF237C4A"/>
    <w:rsid w:val="F7FD19A8"/>
    <w:rsid w:val="FAD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420" w:firstLineChars="200"/>
      <w:jc w:val="center"/>
      <w:outlineLvl w:val="0"/>
    </w:pPr>
    <w:rPr>
      <w:rFonts w:eastAsia="黑体" w:asciiTheme="minorAscii" w:hAnsiTheme="minorAscii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firstLine="420" w:firstLineChars="200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8"/>
    <w:qFormat/>
    <w:uiPriority w:val="0"/>
    <w:rPr>
      <w:kern w:val="2"/>
      <w:sz w:val="18"/>
      <w:szCs w:val="18"/>
    </w:rPr>
  </w:style>
  <w:style w:type="paragraph" w:customStyle="1" w:styleId="14">
    <w:name w:val="表格"/>
    <w:basedOn w:val="1"/>
    <w:next w:val="1"/>
    <w:qFormat/>
    <w:uiPriority w:val="0"/>
    <w:pPr>
      <w:spacing w:line="240" w:lineRule="auto"/>
      <w:ind w:firstLine="0" w:firstLineChars="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1698</Words>
  <Characters>1810</Characters>
  <Lines>10</Lines>
  <Paragraphs>2</Paragraphs>
  <TotalTime>2</TotalTime>
  <ScaleCrop>false</ScaleCrop>
  <LinksUpToDate>false</LinksUpToDate>
  <CharactersWithSpaces>1820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2022-10-26T12:28:00Z</dcterms:created>
  <dc:creator>lenovo</dc:creator>
  <cp:lastModifiedBy>李明清</cp:lastModifiedBy>
  <dcterms:modified xsi:type="dcterms:W3CDTF">2022-12-01T06:01:34Z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C5F8CCD586524DA1BC79E980692BC9C5</vt:lpwstr>
  </property>
</Properties>
</file>